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shd w:val="clear" w:fill="FFFFFF"/>
        </w:rPr>
        <w:t>法释〔2020〕22号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bookmarkStart w:id="0" w:name="_GoBack"/>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最高人民法院关于适用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《中华人民共和国民法典》婚姻家庭编的解释（一）</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shd w:val="clear" w:fill="FFFFFF"/>
        </w:rPr>
        <w:t>（2020年12月25日最高人民法院审判委员会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shd w:val="clear" w:fill="FFFFFF"/>
        </w:rPr>
        <w:t>第1825次会议通过，自2021年1月1日起施行）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为正确审理婚姻家庭纠纷案件，根据《中华人民共和国民法典》《中华人民共和国民事诉讼法》等相关法律规定，结合审判实践，制定本解释。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第一条持续性、经常性的家庭暴力，可以认定为民法典第一千零四十二条、第一千零七十九条、第一千零九十一条所称的“虐待”。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第二条民法典第一千零四十二条、第一千零七十九条、第一千零九十一条规定的“与他人同居”的情形，是指有配偶者与婚外异性，不以夫妻名义，持续、稳定地共同居住。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第三条当事人提起诉讼仅请求解除同居关系的，人民法院不予受理；已经受理的，裁定驳回起诉。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当事人因同居期间财产分割或者子女抚养纠纷提起诉讼的，人民法院应当受理。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第四条当事人仅以民法典第一千零四十三条为依据提起诉讼的，人民法院不予受理；已经受理的，裁定驳回起诉。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第五条当事人请求返还按照习俗给付的彩礼的，如果查明属于以下情形，人民法院应当予以支持：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（一）双方未办理结婚登记手续；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（二）双方办理结婚登记手续但确未共同生活；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（三）婚前给付并导致给付人生活困难。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适用前款第二项、第三项的规定，应当以双方离婚为条件。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第六条男女双方依据民法典第一千零四十九条规定补办结婚登记的，婚姻关系的效力从双方均符合民法典所规定的结婚的实质要件时起算。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第七条未依据民法典第一千零四十九条规定办理结婚登记而以夫妻名义共同生活的男女，提起诉讼要求离婚的，应当区别对待：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（一）1994年2月1日民政部《婚姻登记管理条例》公布实施以前，男女双方已经符合结婚实质要件的，按事实婚姻处理。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（二）1994年2月1日民政部《婚姻登记管理条例》公布实施以后，男女双方符合结婚实质要件的，人民法院应当告知其补办结婚登记。未补办结婚登记的，依据本解释第三条规定处理。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第八条未依据民法典第一千零四十九条规定办理结婚登记而以夫妻名义共同生活的男女，一方死亡，另一方以配偶身份主张享有继承权的，依据本解释第七条的原则处理。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第九条有权依据民法典第一千零五十一条规定向人民法院就已办理结婚登记的婚姻请求确认婚姻无效的主体，包括婚姻当事人及利害关系人。其中，利害关系人包括：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（一）以重婚为由的，为当事人的近亲属及基层组织；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（二）以未到法定婚龄为由的，为未到法定婚龄者的近亲属；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（三）以有禁止结婚的亲属关系为由的，为当事人的近亲属。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第十条当事人依据民法典第一千零五十一条规定向人民法院请求确认婚姻无效，法定的无效婚姻情形在提起诉讼时已经消失的，人民法院不予支持。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第十一条人民法院受理请求确认婚姻无效案件后，原告申请撤诉的，不予准许。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对婚姻效力的审理不适用调解，应当依法作出判决。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涉及财产分割和子女抚养的，可以调解。调解达成协议的，另行制作调解书；未达成调解协议的，应当一并作出判决。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第十二条人民法院受理离婚案件后，经审理确属无效婚姻的，应当将婚姻无效的情形告知当事人，并依法作出确认婚姻无效的判决。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第十三条人民法院就同一婚姻关系分别受理了离婚和请求确认婚姻无效案件的，对于离婚案件的审理，应当待请求确认婚姻无效案件作出判决后进行。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第十四条夫妻一方或者双方死亡后，生存一方或者利害关系人依据民法典第一千零五十一条的规定请求确认婚姻无效的，人民法院应当受理。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第十五条利害关系人依据民法典第一千零五十一条的规定，请求人民法院确认婚姻无效的，利害关系人为原告，婚姻关系当事人双方为被告。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夫妻一方死亡的，生存一方为被告。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第十六条人民法院审理重婚导致的无效婚姻案件时，涉及财产处理的，应当准许合法婚姻当事人作为有独立请求权的第三人参加诉讼。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第十七条当事人以民法典第一千零五十一条规定的三种无效婚姻以外的情形请求确认婚姻无效的，人民法院应当判决驳回当事人的诉讼请求。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当事人以结婚登记程序存在瑕疵为由提起民事诉讼，主张撤销结婚登记的，告知其可以依法申请行政复议或者提起行政诉讼。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第十八条行为人以给另一方当事人或者其近亲属的生命、身体、健康、名誉、财产等方面造成损害为要挟，迫使另一方当事人违背真实意愿结婚的，可以认定为民法典第一千零五十二条所称的“胁迫”。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因受胁迫而请求撤销婚姻的，只能是受胁迫一方的婚姻关系当事人本人。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第十九条民法典第一千零五十二条规定的“一年”，不适用诉讼时效中止、中断或者延长的规定。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受胁迫或者被非法限制人身自由的当事人请求撤销婚姻的，不适用民法典第一百五十二条第二款的规定。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第二十条民法典第一千零五十四条所规定的“自始没有法律约束力”，是指无效婚姻或者可撤销婚姻在依法被确认无效或者被撤销时，才确定该婚姻自始不受法律保护。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第二十一条人民法院根据当事人的请求，依法确认婚姻无效或者撤销婚姻的，应当收缴双方的结婚证书并将生效的判决书寄送当地婚姻登记管理机关。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第二十二条被确认无效或者被撤销的婚姻，当事人同居期间所得的财产，除有证据证明为当事人一方所有的以外，按共同共有处理。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三条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第二十四条民法典第一千零六十二条第一款第三项规定的“知识产权的收益”，是指婚姻关系存续期间，实际取得或者已经明确可以取得的财产性收益。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第二十五条婚姻关系存续期间，下列财产属于民法典第一千零六十二条规定的“其他应当归共同所有的财产”：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（一）一方以个人财产投资取得的收益；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（二）男女双方实际取得或者应当取得的住房补贴、住房公积金；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（三）男女双方实际取得或者应当取得的基本养老金、破产安置补偿费。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第二十六条夫妻一方个人财产在婚后产生的收益，除孳息和自然增值外，应认定为夫妻共同财产。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第二十七条由一方婚前承租、婚后用共同财产购买的房屋，登记在一方名下的，应当认定为夫妻共同财产。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第二十八条一方未经另一方同意出售夫妻共同所有的房屋，第三人善意购买、支付合理对价并已办理不动产登记，另一方主张追回该房屋的，人民法院不予支持。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夫妻一方擅自处分共同所有的房屋造成另一方损失，离婚时另一方请求赔偿损失的，人民法院应予支持。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第二十九条当事人结婚前，父母为双方购置房屋出资的，该出资应当认定为对自己子女个人的赠与，但父母明确表示赠与双方的除外。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当事人结婚后，父母为双方购置房屋出资的，依照约定处理；没有约定或者约定不明确的，按照民法典第一千零六十二条第一款第四项规定的原则处理。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第三十条军人的伤亡保险金、伤残补助金、医药生活补助费属于个人财产。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第三十一条民法典第一千零六十三条规定为夫妻一方的个人财产，不因婚姻关系的延续而转化为夫妻共同财产。但当事人另有约定的除外。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二条婚前或者婚姻关系存续期间，当事人约定将一方所有的房产赠与另一方或者共有，赠与方在赠与房产变更登记之前撤销赠与，另一方请求判令继续履行的，人民法院可以按照民法典第六百五十八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第三十三条债权人就一方婚前所负个人债务向债务人的配偶主张权利的，人民法院不予支持。但债权人能够证明所负债务用于婚后家庭共同生活的除外。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第三十四条夫妻一方与第三人串通，虚构债务，第三人主张该债务为夫妻共同债务的，人民法院不予支持。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夫妻一方在从事赌博、吸毒等违法犯罪活动中所负债务，第三人主张该债务为夫妻共同债务的，人民法院不予支持。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第三十五条当事人的离婚协议或者人民法院生效判决、裁定、调解书已经对夫妻财产分割问题作出处理的，债权人仍有权就夫妻共同债务向男女双方主张权利。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一方就夫妻共同债务承担清偿责任后，主张由另一方按照离婚协议或者人民法院的法律文书承担相应债务的，人民法院应予支持。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第三十六条夫或者妻一方死亡的，生存一方应当对婚姻关系存续期间的夫妻共同债务承担清偿责任。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第三十七条民法典第一千零六十五条第三款所称“相对人知道该约定的”，夫妻一方对此负有举证责任。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第三十八条婚姻关系存续期间，除民法典第一千零六十六条规定情形以外，夫妻一方请求分割共同财产的，人民法院不予支持。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四、父母子女关系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第三十九条父或者母向人民法院起诉请求否认亲子关系，并已提供必要证据予以证明，另一方没有相反证据又拒绝做亲子鉴定的，人民法院可以认定否认亲子关系一方的主张成立。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父或者母以及成年子女起诉请求确认亲子关系，并提供必要证据予以证明，另一方没有相反证据又拒绝做亲子鉴定的，人民法院可以认定确认亲子关系一方的主张成立。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第四十条婚姻关系存续期间，夫妻双方一致同意进行人工授精，所生子女应视为婚生子女，父母子女间的权利义务关系适用民法典的有关规定。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第四十一条尚在校接受高中及其以下学历教育，或者丧失、部分丧失劳动能力等非因主观原因而无法维持正常生活的成年子女，可以认定为民法典第一千零六十七条规定的“不能独立生活的成年子女”。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第四十二条民法典第一千零六十七条所称“抚养费”，包括子女生活费、教育费、医疗费等费用。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第四十三条婚姻关系存续期间，父母双方或者一方拒不履行抚养子女义务，未成年子女或者不能独立生活的成年子女请求支付抚养费的，人民法院应予支持。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第四十四条离婚案件涉及未成年子女抚养的，对不满两周岁的子女，按照民法典第一千零八十四条第三款规定的原则处理。母亲有下列情形之一，父亲请求直接抚养的，人民法院应予支持：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（一）患有久治不愈的传染性疾病或者其他严重疾病，子女不宜与其共同生活；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（二）有抚养条件不尽抚养义务，而父亲要求子女随其生活；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（三）因其他原因，子女确不宜随母亲生活。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第四十五条父母双方协议不满两周岁子女由父亲直接抚养，并对子女健康成长无不利影响的，人民法院应予支持。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第四十六条对已满两周岁的未成年子女，父母均要求直接抚养，一方有下列情形之一的，可予优先考虑：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（一）已做绝育手术或者因其他原因丧失生育能力；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（二）子女随其生活时间较长，改变生活环境对子女健康成长明显不利；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（三）无其他子女，而另一方有其他子女；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（四）子女随其生活，对子女成长有利，而另一方患有久治不愈的传染性疾病或者其他严重疾病，或者有其他不利于子女身心健康的情形，不宜与子女共同生活。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七条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第四十八条在有利于保护子女利益的前提下，父母双方协议轮流直接抚养子女的，人民法院应予支持。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第四十九条抚养费的数额，可以根据子女的实际需要、父母双方的负担能力和当地的实际生活水平确定。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有固定收入的，抚养费一般可以按其月总收入的百分之二十至三十的比例给付。负担两个以上子女抚养费的，比例可以适当提高，但一般不得超过月总收入的百分之五十。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无固定收入的，抚养费的数额可以依据当年总收入或者同行业平均收入，参照上述比例确定。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有特殊情况的，可以适当提高或者降低上述比例。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第五十条抚养费应当定期给付，有条件的可以一次性给付。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第五十一条父母一方无经济收入或者下落不明的，可以用其财物折抵抚养费。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第五十二条父母双方可以协议由一方直接抚养子女并由直接抚养方负担子女全部抚养费。但是，直接抚养方的抚养能力明显不能保障子女所需费用，影响子女健康成长的，人民法院不予支持。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第五十三条抚养费的给付期限，一般至子女十八周岁为止。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十六周岁以上不满十八周岁，以其劳动收入为主要生活来源，并能维持当地一般生活水平的，父母可以停止给付抚养费。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第五十四条生父与继母离婚或者生母与继父离婚时，对曾受其抚养教育的继子女，继父或者继母不同意继续抚养的，仍应由生父或者生母抚养。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第五十五条离婚后，父母一方要求变更子女抚养关系的，或者子女要求增加抚养费的，应当另行提起诉讼。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第五十六条具有下列情形之一，父母一方要求变更子女抚养关系的，人民法院应予支持：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（一）与子女共同生活的一方因患严重疾病或者因伤残无力继续抚养子女；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（二）与子女共同生活的一方不尽抚养义务或有虐待子女行为，或者其与子女共同生活对子女身心健康确有不利影响；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（三）已满八周岁的子女，愿随另一方生活，该方又有抚养能力；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（四）有其他正当理由需要变更。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第五十七条父母双方协议变更子女抚养关系的，人民法院应予支持。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第五十八条具有下列情形之一，子女要求有负担能力的父或者母增加抚养费的，人民法院应予支持：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（一）原定抚养费数额不足以维持当地实际生活水平；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（二）因子女患病、上学，实际需要已超过原定数额；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（三）有其他正当理由应当增加。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第五十九条父母不得因子女变更姓氏而拒付子女抚养费。父或者母擅自将子女姓氏改为继母或继父姓氏而引起纠纷的，应当责令恢复原姓氏。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第六十条在离婚诉讼期间，双方均拒绝抚养子女的，可以先行裁定暂由一方抚养。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第六十一条对拒不履行或者妨害他人履行生效判决、裁定、调解书中有关子女抚养义务的当事人或者其他人，人民法院可依照民事诉讼法第一百一十一条的规定采取强制措施。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五、离婚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二条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第六十三条人民法院审理离婚案件，符合民法典第一千零七十九条第三款规定“应当准予离婚”情形的，不应当因当事人有过错而判决不准离婚。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第六十四条民法典第一千零八十一条所称的“军人一方有重大过错”，可以依据民法典第一千零七十九条第三款前三项规定及军人有其他重大过错导致夫妻感情破裂的情形予以判断。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第六十五条人民法院作出的生效的离婚判决中未涉及探望权，当事人就探望权问题单独提起诉讼的，人民法院应予受理。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六条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第六十七条未成年子女、直接抚养子女的父或者母以及其他对未成年子女负担抚养、教育、保护义务的法定监护人，有权向人民法院提出中止探望的请求。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第六十八条对于拒不协助另一方行使探望权的有关个人或者组织，可以由人民法院依法采取拘留、罚款等强制措施，但是不能对子女的人身、探望行为进行强制执行。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十九条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当事人依照民法典第一千零七十六条签订的离婚协议中关于财产以及债务处理的条款，对男女双方具有法律约束力。登记离婚后当事人因履行上述协议发生纠纷提起诉讼的，人民法院应当受理。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第七十条夫妻双方协议离婚后就财产分割问题反悔，请求撤销财产分割协议的，人民法院应当受理。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人民法院审理后，未发现订立财产分割协议时存在欺诈、胁迫等情形的，应当依法驳回当事人的诉讼请求。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第七十一条人民法院审理离婚案件，涉及分割发放到军人名下的复员费、自主择业费等一次性费用的，以夫妻婚姻关系存续年限乘以年平均值，所得数额为夫妻共同财产。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前款所称年平均值，是指将发放到军人名下的上述费用总额按具体年限均分得出的数额。其具体年限为人均寿命七十岁与军人入伍时实际年龄的差额。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第七十二条夫妻双方分割共同财产中的股票、债券、投资基金份额等有价证券以及未上市股份有限公司股份时，协商不成或者按市价分配有困难的，人民法院可以根据数量按比例分配。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第七十三条人民法院审理离婚案件，涉及分割夫妻共同财产中以一方名义在有限责任公司的出资额，另一方不是该公司股东的，按以下情形分别处理：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（一）夫妻双方协商一致将出资额部分或者全部转让给该股东的配偶，其他股东过半数同意，并且其他股东均明确表示放弃优先购买权的，该股东的配偶可以成为该公司股东；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用于证明前款规定的股东同意的证据，可以是股东会议材料，也可以是当事人通过其他合法途径取得的股东的书面声明材料。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四条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（一）其他合伙人一致同意的，该配偶依法取得合伙人地位；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（二）其他合伙人不同意转让，在同等条件下行使优先购买权的，可以对转让所得的财产进行分割；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（三）其他合伙人不同意转让，也不行使优先购买权，但同意该合伙人退伙或者削减部分财产份额的，可以对结算后的财产进行分割；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（四）其他合伙人既不同意转让，也不行使优先购买权，又不同意该合伙人退伙或者削减部分财产份额的，视为全体合伙人同意转让，该配偶依法取得合伙人地位。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第七十五条夫妻以一方名义投资设立个人独资企业的，人民法院分割夫妻在该个人独资企业中的共同财产时，应当按照以下情形分别处理：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（一）一方主张经营该企业的，对企业资产进行评估后，由取得企业资产所有权一方给予另一方相应的补偿；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（二）双方均主张经营该企业的，在双方竞价基础上，由取得企业资产所有权的一方给予另一方相应的补偿；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（三）双方均不愿意经营该企业的，按照《中华人民共和国个人独资企业法》等有关规定办理。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第七十六条双方对夫妻共同财产中的房屋价值及归属无法达成协议时，人民法院按以下情形分别处理：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（一）双方均主张房屋所有权并且同意竞价取得的，应当准许；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（二）一方主张房屋所有权的，由评估机构按市场价格对房屋作出评估，取得房屋所有权的一方应当给予另一方相应的补偿；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（三）双方均不主张房屋所有权的，根据当事人的申请拍卖、变卖房屋，就所得价款进行分割。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第七十七条离婚时双方对尚未取得所有权或者尚未取得完全所有权的房屋有争议且协商不成的，人民法院不宜判决房屋所有权的归属，应当根据实际情况判决由当事人使用。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当事人就前款规定的房屋取得完全所有权后，有争议的，可以另行向人民法院提起诉讼。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第七十八条夫妻一方婚前签订不动产买卖合同，以个人财产支付首付款并在银行贷款，婚后用夫妻共同财产还贷，不动产登记于首付款支付方名下的，离婚时该不动产由双方协议处理。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十九条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条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第八十一条婚姻关系存续期间，夫妻一方作为继承人依法可以继承的遗产，在继承人之间尚未实际分割，起诉离婚时另一方请求分割的，人民法院应当告知当事人在继承人之间实际分割遗产后另行起诉。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第八十二条夫妻之间订立借款协议，以夫妻共同财产出借给一方从事个人经营活动或者用于其他个人事务的，应视为双方约定处分夫妻共同财产的行为，离婚时可以按照借款协议的约定处理。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第八十三条离婚后，一方以尚有夫妻共同财产未处理为由向人民法院起诉请求分割的，经审查该财产确属离婚时未涉及的夫妻共同财产，人民法院应当依法予以分割。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第八十四条当事人依据民法典第一千零九十二条的规定向人民法院提起诉讼，请求再次分割夫妻共同财产的诉讼时效期间为三年，从当事人发现之日起计算。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第八十五条夫妻一方申请对配偶的个人财产或者夫妻共同财产采取保全措施的，人民法院可以在采取保全措施可能造成损失的范围内，根据实际情况，确定合理的财产担保数额。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第八十六条民法典第一千零九十一条规定的“损害赔偿”，包括物质损害赔偿和精神损害赔偿。涉及精神损害赔偿的，适用《最高人民法院关于确定民事侵权精神损害赔偿责任若干问题的解释》的有关规定。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第八十七条承担民法典第一千零九十一条规定的损害赔偿责任的主体，为离婚诉讼当事人中无过错方的配偶。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人民法院判决不准离婚的案件，对于当事人基于民法典第一千零九十一条提出的损害赔偿请求，不予支持。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在婚姻关系存续期间，当事人不起诉离婚而单独依据民法典第一千零九十一条提起损害赔偿请求的，人民法院不予受理。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第八十八条人民法院受理离婚案件时，应当将民法典第一千零九十一条等规定中当事人的有关权利义务，书面告知当事人。在适用民法典第一千零九十一条时，应当区分以下不同情况：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（一）符合民法典第一千零九十一条规定的无过错方作为原告基于该条规定向人民法院提起损害赔偿请求的，必须在离婚诉讼的同时提出。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（二）符合民法典第一千零九十一条规定的无过错方作为被告的离婚诉讼案件，如果被告不同意离婚也不基于该条规定提起损害赔偿请求的，可以就此单独提起诉讼。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十九条当事人在婚姻登记机关办理离婚登记手续后，以民法典第一千零九十一条规定为由向人民法院提出损害赔偿请求的，人民法院应当受理。但当事人在协议离婚时已经明确表示放弃该项请求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第九十条夫妻双方均有民法典第一千零九十一条规定的过错情形，一方或者双方向对方提出离婚损害赔偿请求的，人民法院不予支持。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shd w:val="clear" w:fill="FFFFFF"/>
        </w:rPr>
        <w:t>　　第九十一条本解释自2021年1月1日起施行。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0" w:lineRule="atLeast"/>
        <w:ind w:left="0" w:right="0" w:firstLine="0"/>
        <w:jc w:val="left"/>
        <w:rPr>
          <w:rFonts w:hint="eastAsia" w:ascii="微软雅黑" w:hAnsi="微软雅黑" w:eastAsia="微软雅黑" w:cs="微软雅黑"/>
          <w:i w:val="0"/>
          <w:iCs w:val="0"/>
          <w:caps w:val="0"/>
          <w:color w:val="7A7A7A"/>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58CB3808"/>
    <w:rsid w:val="58CB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9060</Words>
  <Characters>9084</Characters>
  <Lines>0</Lines>
  <Paragraphs>0</Paragraphs>
  <TotalTime>1</TotalTime>
  <ScaleCrop>false</ScaleCrop>
  <LinksUpToDate>false</LinksUpToDate>
  <CharactersWithSpaces>9410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2023-08-11T10:20:00Z</dcterms:created>
  <dc:creator>高旭东</dc:creator>
  <cp:lastModifiedBy>高旭东</cp:lastModifiedBy>
  <dcterms:modified xsi:type="dcterms:W3CDTF">2023-08-11T10:22:37Z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0DB1AC3B46264F719020CDC4AED972D1_11</vt:lpwstr>
  </property>
</Properties>
</file>